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34"/>
        <w:gridCol w:w="3216"/>
      </w:tblGrid>
      <w:tr w14:paraId="67304D4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1" w:hRule="atLeast"/>
        </w:trPr>
        <w:tc>
          <w:tcPr>
            <w:tcW w:w="9650" w:type="dxa"/>
            <w:gridSpan w:val="2"/>
            <w:tcBorders>
              <w:tl2br w:val="nil"/>
              <w:tr2bl w:val="nil"/>
            </w:tcBorders>
          </w:tcPr>
          <w:p w14:paraId="1654B25E">
            <w:pPr>
              <w:widowControl w:val="0"/>
              <w:numPr>
                <w:ilvl w:val="0"/>
                <w:numId w:val="0"/>
              </w:numPr>
              <w:jc w:val="center"/>
              <w:rPr>
                <w:rFonts w:hint="eastAsia"/>
                <w:b/>
                <w:color w:val="FF0000"/>
                <w:sz w:val="44"/>
                <w:szCs w:val="44"/>
                <w:lang w:val="en-US" w:eastAsia="zh-CN"/>
              </w:rPr>
            </w:pPr>
            <w:r>
              <w:rPr>
                <w:rFonts w:hint="eastAsia"/>
                <w:b/>
                <w:color w:val="FF0000"/>
                <w:sz w:val="44"/>
                <w:szCs w:val="44"/>
                <w:lang w:val="en-US" w:eastAsia="zh-CN"/>
              </w:rPr>
              <w:t xml:space="preserve">       中 标 通 知 书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（示范文本）</w:t>
            </w:r>
          </w:p>
          <w:p w14:paraId="4DD0B1AA">
            <w:pPr>
              <w:widowControl w:val="0"/>
              <w:numPr>
                <w:ilvl w:val="0"/>
                <w:numId w:val="0"/>
              </w:numPr>
              <w:jc w:val="both"/>
              <w:rPr>
                <w:rFonts w:hint="eastAsia"/>
                <w:b/>
                <w:color w:val="FF0000"/>
                <w:sz w:val="44"/>
                <w:szCs w:val="44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color w:val="FF0000"/>
                <w:sz w:val="44"/>
                <w:szCs w:val="44"/>
                <w:u w:val="single"/>
                <w:lang w:val="en-US" w:eastAsia="zh-CN"/>
              </w:rPr>
              <w:t xml:space="preserve">                           </w:t>
            </w:r>
            <w:r>
              <w:rPr>
                <w:rFonts w:hint="eastAsia"/>
                <w:b/>
                <w:color w:val="FF0000"/>
                <w:sz w:val="32"/>
                <w:szCs w:val="32"/>
                <w:u w:val="single"/>
                <w:lang w:val="en-US" w:eastAsia="zh-CN"/>
              </w:rPr>
              <w:t>编号：</w:t>
            </w:r>
            <w:r>
              <w:rPr>
                <w:rFonts w:hint="eastAsia"/>
                <w:b/>
                <w:color w:val="FF0000"/>
                <w:sz w:val="44"/>
                <w:szCs w:val="44"/>
                <w:u w:val="single"/>
                <w:lang w:val="en-US" w:eastAsia="zh-CN"/>
              </w:rPr>
              <w:t xml:space="preserve">            </w:t>
            </w:r>
          </w:p>
        </w:tc>
      </w:tr>
      <w:tr w14:paraId="17B8A4A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63" w:hRule="atLeast"/>
        </w:trPr>
        <w:tc>
          <w:tcPr>
            <w:tcW w:w="9650" w:type="dxa"/>
            <w:gridSpan w:val="2"/>
            <w:tcBorders>
              <w:tl2br w:val="nil"/>
              <w:tr2bl w:val="nil"/>
            </w:tcBorders>
          </w:tcPr>
          <w:p w14:paraId="72B53F13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left"/>
              <w:textAlignment w:val="auto"/>
              <w:rPr>
                <w:rFonts w:hint="eastAsia"/>
                <w:b w:val="0"/>
                <w:bCs/>
                <w:sz w:val="28"/>
                <w:szCs w:val="28"/>
                <w:u w:val="single"/>
                <w:lang w:val="en-US" w:eastAsia="zh-CN"/>
              </w:rPr>
            </w:pPr>
          </w:p>
          <w:p w14:paraId="0DBD0FE1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32"/>
                <w:szCs w:val="32"/>
                <w:u w:val="single"/>
                <w:lang w:val="en-US" w:eastAsia="zh-CN"/>
              </w:rPr>
              <w:t xml:space="preserve">        （中标人）         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sz w:val="32"/>
                <w:szCs w:val="32"/>
                <w:lang w:val="en-US" w:eastAsia="zh-CN"/>
              </w:rPr>
              <w:t>：</w:t>
            </w:r>
          </w:p>
          <w:p w14:paraId="0BD9D645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64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32"/>
                <w:szCs w:val="32"/>
                <w:lang w:val="en-US" w:eastAsia="zh-CN"/>
              </w:rPr>
              <w:t>根据《前期物业管理招标投标管理暂行办法》</w:t>
            </w:r>
            <w:r>
              <w:rPr>
                <w:rFonts w:hint="eastAsia" w:ascii="仿宋_GB2312" w:hAnsi="仿宋_GB2312" w:eastAsia="仿宋_GB2312" w:cs="仿宋_GB2312"/>
                <w:strike w:val="0"/>
                <w:dstrike w:val="0"/>
                <w:sz w:val="32"/>
                <w:szCs w:val="32"/>
                <w:lang w:val="en-US" w:eastAsia="zh-CN"/>
              </w:rPr>
              <w:t>《湖南省物业管理条例》《岳阳市住宅物业管理若干规定》等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sz w:val="32"/>
                <w:szCs w:val="32"/>
                <w:lang w:val="en-US" w:eastAsia="zh-CN"/>
              </w:rPr>
              <w:t>法律法规和该项目招标文件的规定，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sz w:val="32"/>
                <w:szCs w:val="32"/>
                <w:u w:val="single"/>
                <w:lang w:val="en-US" w:eastAsia="zh-CN"/>
              </w:rPr>
              <w:t xml:space="preserve">    （项目）    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sz w:val="32"/>
                <w:szCs w:val="32"/>
                <w:lang w:val="en-US" w:eastAsia="zh-CN"/>
              </w:rPr>
              <w:t>总建筑面积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sz w:val="32"/>
                <w:szCs w:val="32"/>
                <w:u w:val="single"/>
                <w:lang w:val="en-US" w:eastAsia="zh-CN"/>
              </w:rPr>
              <w:t xml:space="preserve">            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sz w:val="32"/>
                <w:szCs w:val="32"/>
                <w:lang w:val="en-US" w:eastAsia="zh-CN"/>
              </w:rPr>
              <w:t>平方米，物业管理招投标的评标工作已经结束。经评标委员会综合评定，确定你公司为中标人，服务等级和收费价格如下：</w:t>
            </w:r>
          </w:p>
          <w:p w14:paraId="272CCA19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64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32"/>
                <w:szCs w:val="32"/>
                <w:lang w:val="en-US" w:eastAsia="zh-CN"/>
              </w:rPr>
              <w:t>【服务等级】</w:t>
            </w:r>
          </w:p>
          <w:p w14:paraId="08FF6AF1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64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32"/>
                <w:szCs w:val="32"/>
                <w:lang w:val="en-US" w:eastAsia="zh-CN"/>
              </w:rPr>
              <w:t xml:space="preserve">综合管理服务                        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sz w:val="32"/>
                <w:szCs w:val="32"/>
                <w:u w:val="single"/>
                <w:lang w:val="en-US" w:eastAsia="zh-CN"/>
              </w:rPr>
              <w:t xml:space="preserve">    （1-5）   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sz w:val="32"/>
                <w:szCs w:val="32"/>
                <w:lang w:val="en-US" w:eastAsia="zh-CN"/>
              </w:rPr>
              <w:t>级；</w:t>
            </w:r>
          </w:p>
          <w:p w14:paraId="3F1C72C0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64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32"/>
                <w:szCs w:val="32"/>
                <w:lang w:val="en-US" w:eastAsia="zh-CN"/>
              </w:rPr>
              <w:t xml:space="preserve">公共区域清洁卫生服务                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sz w:val="32"/>
                <w:szCs w:val="32"/>
                <w:u w:val="single"/>
                <w:lang w:val="en-US" w:eastAsia="zh-CN"/>
              </w:rPr>
              <w:t xml:space="preserve">    （1-5）   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sz w:val="32"/>
                <w:szCs w:val="32"/>
                <w:lang w:val="en-US" w:eastAsia="zh-CN"/>
              </w:rPr>
              <w:t>级；</w:t>
            </w:r>
          </w:p>
          <w:p w14:paraId="7C564BA5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64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32"/>
                <w:szCs w:val="32"/>
                <w:lang w:val="en-US" w:eastAsia="zh-CN"/>
              </w:rPr>
              <w:t xml:space="preserve">公共区域秩序维护服务                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sz w:val="32"/>
                <w:szCs w:val="32"/>
                <w:u w:val="single"/>
                <w:lang w:val="en-US" w:eastAsia="zh-CN"/>
              </w:rPr>
              <w:t xml:space="preserve">    （1-5）   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sz w:val="32"/>
                <w:szCs w:val="32"/>
                <w:lang w:val="en-US" w:eastAsia="zh-CN"/>
              </w:rPr>
              <w:t>级；</w:t>
            </w:r>
          </w:p>
          <w:p w14:paraId="313D8EE4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64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32"/>
                <w:szCs w:val="32"/>
                <w:lang w:val="en-US" w:eastAsia="zh-CN"/>
              </w:rPr>
              <w:t xml:space="preserve">公共区域绿化日常养护服务            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sz w:val="32"/>
                <w:szCs w:val="32"/>
                <w:u w:val="single"/>
                <w:lang w:val="en-US" w:eastAsia="zh-CN"/>
              </w:rPr>
              <w:t xml:space="preserve">    （1-5）   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sz w:val="32"/>
                <w:szCs w:val="32"/>
                <w:lang w:val="en-US" w:eastAsia="zh-CN"/>
              </w:rPr>
              <w:t>级；</w:t>
            </w:r>
          </w:p>
          <w:p w14:paraId="166FD146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64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32"/>
                <w:szCs w:val="32"/>
                <w:lang w:val="en-US" w:eastAsia="zh-CN"/>
              </w:rPr>
              <w:t xml:space="preserve">公用部位日常运行、保养、维护服务    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sz w:val="32"/>
                <w:szCs w:val="32"/>
                <w:u w:val="single"/>
                <w:lang w:val="en-US" w:eastAsia="zh-CN"/>
              </w:rPr>
              <w:t xml:space="preserve">    （1-3）   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sz w:val="32"/>
                <w:szCs w:val="32"/>
                <w:lang w:val="en-US" w:eastAsia="zh-CN"/>
              </w:rPr>
              <w:t>级；</w:t>
            </w:r>
          </w:p>
          <w:p w14:paraId="0A770553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64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32"/>
                <w:szCs w:val="32"/>
                <w:lang w:val="en-US" w:eastAsia="zh-CN"/>
              </w:rPr>
              <w:t xml:space="preserve">供水系统日常运行、保养、维护服务    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sz w:val="32"/>
                <w:szCs w:val="32"/>
                <w:u w:val="single"/>
                <w:lang w:val="en-US" w:eastAsia="zh-CN"/>
              </w:rPr>
              <w:t xml:space="preserve">    （1-2）   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sz w:val="32"/>
                <w:szCs w:val="32"/>
                <w:lang w:val="en-US" w:eastAsia="zh-CN"/>
              </w:rPr>
              <w:t>级；</w:t>
            </w:r>
          </w:p>
          <w:p w14:paraId="72F8E4D2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64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32"/>
                <w:szCs w:val="32"/>
                <w:lang w:val="en-US" w:eastAsia="zh-CN"/>
              </w:rPr>
              <w:t xml:space="preserve">公共照明日常运行、保养、维护服务    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sz w:val="32"/>
                <w:szCs w:val="32"/>
                <w:u w:val="single"/>
                <w:lang w:val="en-US" w:eastAsia="zh-CN"/>
              </w:rPr>
              <w:t xml:space="preserve">    （1-3）   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sz w:val="32"/>
                <w:szCs w:val="32"/>
                <w:lang w:val="en-US" w:eastAsia="zh-CN"/>
              </w:rPr>
              <w:t>级；</w:t>
            </w:r>
          </w:p>
          <w:p w14:paraId="7FCDBF7C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64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32"/>
                <w:szCs w:val="32"/>
                <w:lang w:val="en-US" w:eastAsia="zh-CN"/>
              </w:rPr>
              <w:t xml:space="preserve">消防系统日常运行、保养、维护服务    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sz w:val="32"/>
                <w:szCs w:val="32"/>
                <w:u w:val="single"/>
                <w:lang w:val="en-US" w:eastAsia="zh-CN"/>
              </w:rPr>
              <w:t xml:space="preserve">    （1-2）   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sz w:val="32"/>
                <w:szCs w:val="32"/>
                <w:lang w:val="en-US" w:eastAsia="zh-CN"/>
              </w:rPr>
              <w:t>级；</w:t>
            </w:r>
          </w:p>
          <w:p w14:paraId="21701626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64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32"/>
                <w:szCs w:val="32"/>
                <w:lang w:val="en-US" w:eastAsia="zh-CN"/>
              </w:rPr>
              <w:t xml:space="preserve">弱电系统日常运行、保养、维护服务    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sz w:val="32"/>
                <w:szCs w:val="32"/>
                <w:u w:val="single"/>
                <w:lang w:val="en-US" w:eastAsia="zh-CN"/>
              </w:rPr>
              <w:t xml:space="preserve">    （1-2）   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sz w:val="32"/>
                <w:szCs w:val="32"/>
                <w:lang w:val="en-US" w:eastAsia="zh-CN"/>
              </w:rPr>
              <w:t>级；</w:t>
            </w:r>
          </w:p>
          <w:p w14:paraId="78982088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64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32"/>
                <w:szCs w:val="32"/>
                <w:lang w:val="en-US" w:eastAsia="zh-CN"/>
              </w:rPr>
              <w:t>电梯、排水、避雷、水景系统提供的物业服务均为1级。</w:t>
            </w:r>
          </w:p>
          <w:p w14:paraId="66CF6F7E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64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32"/>
                <w:szCs w:val="32"/>
                <w:lang w:val="en-US" w:eastAsia="zh-CN"/>
              </w:rPr>
              <w:t>【收费价格】</w:t>
            </w:r>
          </w:p>
          <w:p w14:paraId="1D15DFD8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64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32"/>
                <w:szCs w:val="32"/>
                <w:lang w:val="en-US" w:eastAsia="zh-CN"/>
              </w:rPr>
              <w:t xml:space="preserve">无电梯的多层住宅：      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sz w:val="32"/>
                <w:szCs w:val="32"/>
                <w:u w:val="single"/>
                <w:lang w:val="en-US" w:eastAsia="zh-CN"/>
              </w:rPr>
              <w:t xml:space="preserve">        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sz w:val="32"/>
                <w:szCs w:val="32"/>
                <w:lang w:val="en-US" w:eastAsia="zh-CN"/>
              </w:rPr>
              <w:t>元/月/平方米建筑面积；</w:t>
            </w:r>
          </w:p>
          <w:p w14:paraId="39E41963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64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32"/>
                <w:szCs w:val="32"/>
                <w:lang w:val="en-US" w:eastAsia="zh-CN"/>
              </w:rPr>
              <w:t xml:space="preserve">配置电梯的多层住宅：    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sz w:val="32"/>
                <w:szCs w:val="32"/>
                <w:u w:val="single"/>
                <w:lang w:val="en-US" w:eastAsia="zh-CN"/>
              </w:rPr>
              <w:t xml:space="preserve">        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sz w:val="32"/>
                <w:szCs w:val="32"/>
                <w:lang w:val="en-US" w:eastAsia="zh-CN"/>
              </w:rPr>
              <w:t>元/月/平方米建筑面积；</w:t>
            </w:r>
          </w:p>
          <w:p w14:paraId="76AE493E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64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32"/>
                <w:szCs w:val="32"/>
                <w:lang w:val="en-US" w:eastAsia="zh-CN"/>
              </w:rPr>
              <w:t xml:space="preserve">高层住宅：              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sz w:val="32"/>
                <w:szCs w:val="32"/>
                <w:u w:val="single"/>
                <w:lang w:val="en-US" w:eastAsia="zh-CN"/>
              </w:rPr>
              <w:t xml:space="preserve">        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sz w:val="32"/>
                <w:szCs w:val="32"/>
                <w:lang w:val="en-US" w:eastAsia="zh-CN"/>
              </w:rPr>
              <w:t>元/月/平方米建筑面积；</w:t>
            </w:r>
          </w:p>
          <w:p w14:paraId="020F4DCF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64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32"/>
                <w:szCs w:val="32"/>
                <w:lang w:val="en-US" w:eastAsia="zh-CN"/>
              </w:rPr>
              <w:t xml:space="preserve">商业用房：              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sz w:val="32"/>
                <w:szCs w:val="32"/>
                <w:u w:val="single"/>
                <w:lang w:val="en-US" w:eastAsia="zh-CN"/>
              </w:rPr>
              <w:t xml:space="preserve">        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sz w:val="32"/>
                <w:szCs w:val="32"/>
                <w:lang w:val="en-US" w:eastAsia="zh-CN"/>
              </w:rPr>
              <w:t>元/月/平方米建筑面积；</w:t>
            </w:r>
          </w:p>
          <w:p w14:paraId="65181E57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64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32"/>
                <w:szCs w:val="32"/>
                <w:lang w:val="en-US" w:eastAsia="zh-CN"/>
              </w:rPr>
              <w:t xml:space="preserve">办公用房：              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sz w:val="32"/>
                <w:szCs w:val="32"/>
                <w:u w:val="single"/>
                <w:lang w:val="en-US" w:eastAsia="zh-CN"/>
              </w:rPr>
              <w:t xml:space="preserve">        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sz w:val="32"/>
                <w:szCs w:val="32"/>
                <w:lang w:val="en-US" w:eastAsia="zh-CN"/>
              </w:rPr>
              <w:t>元/月/平方米建筑面积；</w:t>
            </w:r>
          </w:p>
          <w:p w14:paraId="04625EF4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64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32"/>
                <w:szCs w:val="32"/>
                <w:lang w:val="en-US" w:eastAsia="zh-CN"/>
              </w:rPr>
              <w:t xml:space="preserve">别墅：                  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sz w:val="32"/>
                <w:szCs w:val="32"/>
                <w:u w:val="single"/>
                <w:lang w:val="en-US" w:eastAsia="zh-CN"/>
              </w:rPr>
              <w:t xml:space="preserve">        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sz w:val="32"/>
                <w:szCs w:val="32"/>
                <w:lang w:val="en-US" w:eastAsia="zh-CN"/>
              </w:rPr>
              <w:t>元/月/平方米建筑面积；</w:t>
            </w:r>
          </w:p>
          <w:p w14:paraId="1D6751A4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64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32"/>
                <w:szCs w:val="32"/>
                <w:lang w:val="en-US" w:eastAsia="zh-CN"/>
              </w:rPr>
              <w:t xml:space="preserve">幼儿园用房：            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sz w:val="32"/>
                <w:szCs w:val="32"/>
                <w:u w:val="single"/>
                <w:lang w:val="en-US" w:eastAsia="zh-CN"/>
              </w:rPr>
              <w:t xml:space="preserve">        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sz w:val="32"/>
                <w:szCs w:val="32"/>
                <w:lang w:val="en-US" w:eastAsia="zh-CN"/>
              </w:rPr>
              <w:t>元/月/平方米建筑面积；</w:t>
            </w:r>
          </w:p>
          <w:p w14:paraId="07DEAED2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64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sz w:val="32"/>
                <w:szCs w:val="32"/>
                <w:lang w:val="en-US" w:eastAsia="zh-CN"/>
              </w:rPr>
            </w:pPr>
          </w:p>
          <w:p w14:paraId="3DC73A78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64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32"/>
                <w:szCs w:val="32"/>
                <w:lang w:val="en-US" w:eastAsia="zh-CN"/>
              </w:rPr>
              <w:t>请你公司自接到本通知书之日起7个工作日之内与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sz w:val="32"/>
                <w:szCs w:val="32"/>
                <w:u w:val="none"/>
                <w:lang w:val="en-US" w:eastAsia="zh-CN"/>
              </w:rPr>
              <w:t>招标人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sz w:val="32"/>
                <w:szCs w:val="32"/>
                <w:lang w:val="en-US" w:eastAsia="zh-CN"/>
              </w:rPr>
              <w:t>签订《物业服务合同》。</w:t>
            </w:r>
          </w:p>
          <w:p w14:paraId="2890AD74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64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  <w:t>《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物业服务合同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  <w:t>》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签订之日起30日内，进驻服务前，物业服务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人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须将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  <w:t>《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物业服务合同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  <w:t>》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在物业管理区域显著位置公示，并提交相关资料报项目所在地街道办事处（乡镇人民政府）和县市区物业管理行政主管部门申请备案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sz w:val="32"/>
                <w:szCs w:val="32"/>
                <w:lang w:val="en-US" w:eastAsia="zh-CN"/>
              </w:rPr>
              <w:t>。</w:t>
            </w:r>
          </w:p>
          <w:p w14:paraId="286D0C30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640" w:firstLineChars="200"/>
              <w:jc w:val="left"/>
              <w:textAlignment w:val="auto"/>
              <w:rPr>
                <w:rFonts w:hint="default" w:ascii="仿宋_GB2312" w:hAnsi="仿宋_GB2312" w:eastAsia="仿宋_GB2312" w:cs="仿宋_GB2312"/>
                <w:b w:val="0"/>
                <w:bCs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32"/>
                <w:szCs w:val="32"/>
                <w:lang w:val="en-US" w:eastAsia="zh-CN"/>
              </w:rPr>
              <w:t>普通商品住宅前期物业服务费，物业服务人在与建设单位完成物业承接查验移交手续后30日内，持相关资料到发展和改革部门办理备案审查。</w:t>
            </w:r>
          </w:p>
          <w:p w14:paraId="492247B5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640" w:firstLineChars="200"/>
              <w:jc w:val="left"/>
              <w:textAlignment w:val="auto"/>
              <w:rPr>
                <w:rFonts w:hint="eastAsia"/>
                <w:b/>
                <w:color w:val="FF0000"/>
                <w:sz w:val="44"/>
                <w:szCs w:val="4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32"/>
                <w:szCs w:val="32"/>
                <w:lang w:val="en-US" w:eastAsia="zh-CN"/>
              </w:rPr>
              <w:t>特此通知！</w:t>
            </w:r>
          </w:p>
        </w:tc>
      </w:tr>
      <w:tr w14:paraId="3FD4965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4" w:hRule="atLeast"/>
        </w:trPr>
        <w:tc>
          <w:tcPr>
            <w:tcW w:w="9650" w:type="dxa"/>
            <w:gridSpan w:val="2"/>
            <w:tcBorders>
              <w:tl2br w:val="nil"/>
              <w:tr2bl w:val="nil"/>
            </w:tcBorders>
          </w:tcPr>
          <w:p w14:paraId="68517318">
            <w:pPr>
              <w:widowControl w:val="0"/>
              <w:numPr>
                <w:ilvl w:val="0"/>
                <w:numId w:val="0"/>
              </w:numPr>
              <w:jc w:val="both"/>
              <w:rPr>
                <w:rFonts w:hint="eastAsia"/>
                <w:b w:val="0"/>
                <w:bCs/>
                <w:sz w:val="28"/>
                <w:szCs w:val="28"/>
                <w:lang w:val="en-US" w:eastAsia="zh-CN"/>
              </w:rPr>
            </w:pPr>
          </w:p>
          <w:p w14:paraId="753BB76C">
            <w:pPr>
              <w:widowControl w:val="0"/>
              <w:numPr>
                <w:ilvl w:val="0"/>
                <w:numId w:val="0"/>
              </w:numPr>
              <w:jc w:val="both"/>
              <w:rPr>
                <w:rFonts w:hint="eastAsia"/>
                <w:b w:val="0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b w:val="0"/>
                <w:bCs/>
                <w:sz w:val="28"/>
                <w:szCs w:val="28"/>
                <w:lang w:val="en-US" w:eastAsia="zh-CN"/>
              </w:rPr>
              <w:t xml:space="preserve">招标人：（盖章）                    </w:t>
            </w:r>
          </w:p>
          <w:p w14:paraId="6C228341">
            <w:pPr>
              <w:widowControl w:val="0"/>
              <w:numPr>
                <w:ilvl w:val="0"/>
                <w:numId w:val="0"/>
              </w:numPr>
              <w:jc w:val="both"/>
              <w:rPr>
                <w:rFonts w:hint="eastAsia"/>
                <w:b w:val="0"/>
                <w:bCs/>
                <w:sz w:val="28"/>
                <w:szCs w:val="28"/>
                <w:lang w:val="en-US" w:eastAsia="zh-CN"/>
              </w:rPr>
            </w:pPr>
          </w:p>
          <w:p w14:paraId="34D6A088">
            <w:pPr>
              <w:widowControl w:val="0"/>
              <w:numPr>
                <w:ilvl w:val="0"/>
                <w:numId w:val="0"/>
              </w:numPr>
              <w:ind w:firstLine="3920" w:firstLineChars="1400"/>
              <w:jc w:val="both"/>
              <w:rPr>
                <w:rFonts w:hint="eastAsia"/>
                <w:b/>
                <w:color w:val="FF0000"/>
                <w:sz w:val="44"/>
                <w:szCs w:val="44"/>
                <w:vertAlign w:val="baseline"/>
                <w:lang w:val="en-US" w:eastAsia="zh-CN"/>
              </w:rPr>
            </w:pPr>
            <w:bookmarkStart w:id="0" w:name="_GoBack"/>
            <w:bookmarkEnd w:id="0"/>
            <w:r>
              <w:rPr>
                <w:rFonts w:hint="eastAsia"/>
                <w:b w:val="0"/>
                <w:bCs/>
                <w:sz w:val="28"/>
                <w:szCs w:val="28"/>
                <w:lang w:val="en-US" w:eastAsia="zh-CN"/>
              </w:rPr>
              <w:t xml:space="preserve">年    月    日                   </w:t>
            </w:r>
          </w:p>
        </w:tc>
      </w:tr>
      <w:tr w14:paraId="15BEED1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1" w:hRule="atLeast"/>
        </w:trPr>
        <w:tc>
          <w:tcPr>
            <w:tcW w:w="6822" w:type="dxa"/>
            <w:tcBorders>
              <w:tl2br w:val="nil"/>
              <w:tr2bl w:val="nil"/>
            </w:tcBorders>
          </w:tcPr>
          <w:p w14:paraId="7744A464">
            <w:pPr>
              <w:widowControl w:val="0"/>
              <w:numPr>
                <w:ilvl w:val="0"/>
                <w:numId w:val="0"/>
              </w:numPr>
              <w:jc w:val="left"/>
              <w:rPr>
                <w:rFonts w:hint="eastAsia"/>
                <w:b w:val="0"/>
                <w:bCs/>
                <w:sz w:val="28"/>
                <w:szCs w:val="28"/>
                <w:lang w:val="en-US" w:eastAsia="zh-CN"/>
              </w:rPr>
            </w:pPr>
          </w:p>
          <w:p w14:paraId="60EB05FD">
            <w:pPr>
              <w:widowControl w:val="0"/>
              <w:numPr>
                <w:ilvl w:val="0"/>
                <w:numId w:val="0"/>
              </w:numPr>
              <w:jc w:val="both"/>
              <w:rPr>
                <w:rFonts w:hint="eastAsia"/>
                <w:b w:val="0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b w:val="0"/>
                <w:bCs/>
                <w:sz w:val="28"/>
                <w:szCs w:val="28"/>
                <w:lang w:val="en-US" w:eastAsia="zh-CN"/>
              </w:rPr>
              <w:t xml:space="preserve">县市区物业管理行政主管部门：（盖章） </w:t>
            </w:r>
          </w:p>
          <w:p w14:paraId="6DF0F051">
            <w:pPr>
              <w:widowControl w:val="0"/>
              <w:numPr>
                <w:ilvl w:val="0"/>
                <w:numId w:val="0"/>
              </w:numPr>
              <w:jc w:val="both"/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  <w:lang w:val="en-US" w:eastAsia="zh-CN"/>
              </w:rPr>
            </w:pPr>
          </w:p>
          <w:p w14:paraId="2A22CB50">
            <w:pPr>
              <w:widowControl w:val="0"/>
              <w:numPr>
                <w:ilvl w:val="0"/>
                <w:numId w:val="0"/>
              </w:numPr>
              <w:ind w:firstLine="3920" w:firstLineChars="1400"/>
              <w:jc w:val="both"/>
              <w:rPr>
                <w:rFonts w:hint="eastAsia"/>
                <w:b/>
                <w:color w:val="FF0000"/>
                <w:sz w:val="44"/>
                <w:szCs w:val="4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  <w:lang w:val="en-US" w:eastAsia="zh-CN"/>
              </w:rPr>
              <w:t>年    月    日</w:t>
            </w:r>
          </w:p>
        </w:tc>
        <w:tc>
          <w:tcPr>
            <w:tcW w:w="2828" w:type="dxa"/>
            <w:tcBorders>
              <w:tl2br w:val="nil"/>
              <w:tr2bl w:val="nil"/>
            </w:tcBorders>
          </w:tcPr>
          <w:p w14:paraId="57A2AA2F">
            <w:pPr>
              <w:widowControl w:val="0"/>
              <w:numPr>
                <w:ilvl w:val="0"/>
                <w:numId w:val="0"/>
              </w:numPr>
              <w:jc w:val="center"/>
              <w:rPr>
                <w:rFonts w:hint="eastAsia"/>
                <w:b/>
                <w:color w:val="FF0000"/>
                <w:sz w:val="44"/>
                <w:szCs w:val="44"/>
                <w:vertAlign w:val="baseline"/>
                <w:lang w:val="en-US" w:eastAsia="zh-CN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drawing>
                <wp:inline distT="0" distB="0" distL="114300" distR="114300">
                  <wp:extent cx="1905000" cy="1905000"/>
                  <wp:effectExtent l="0" t="0" r="0" b="0"/>
                  <wp:docPr id="1" name="图片 1" descr="IMG_2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IMG_256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05000" cy="19050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7E64ED46">
      <w:pPr>
        <w:widowControl w:val="0"/>
        <w:numPr>
          <w:ilvl w:val="0"/>
          <w:numId w:val="0"/>
        </w:numPr>
        <w:jc w:val="left"/>
        <w:rPr>
          <w:rFonts w:hint="eastAsia"/>
          <w:b/>
          <w:color w:val="FF0000"/>
          <w:sz w:val="44"/>
          <w:szCs w:val="44"/>
          <w:u w:val="single"/>
          <w:lang w:val="en-US" w:eastAsia="zh-CN"/>
        </w:rPr>
      </w:pPr>
      <w:r>
        <w:rPr>
          <w:rFonts w:hint="eastAsia"/>
          <w:b/>
          <w:color w:val="FF0000"/>
          <w:sz w:val="44"/>
          <w:szCs w:val="44"/>
          <w:u w:val="single"/>
          <w:lang w:val="en-US" w:eastAsia="zh-CN"/>
        </w:rPr>
        <w:t xml:space="preserve">                                           </w:t>
      </w:r>
    </w:p>
    <w:p w14:paraId="77056750">
      <w:pPr>
        <w:rPr>
          <w:rFonts w:hint="default"/>
          <w:b w:val="0"/>
          <w:bCs/>
          <w:color w:val="000000" w:themeColor="text1"/>
          <w:sz w:val="21"/>
          <w:szCs w:val="21"/>
          <w:u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b w:val="0"/>
          <w:bCs/>
          <w:color w:val="000000" w:themeColor="text1"/>
          <w:sz w:val="21"/>
          <w:szCs w:val="21"/>
          <w:u w:val="none"/>
          <w:lang w:val="en-US" w:eastAsia="zh-CN"/>
          <w14:textFill>
            <w14:solidFill>
              <w14:schemeClr w14:val="tx1"/>
            </w14:solidFill>
          </w14:textFill>
        </w:rPr>
        <w:t>本中标通知书一式三份（招标人、中标人、县市区物管部门各执一份）</w:t>
      </w:r>
    </w:p>
    <w:sectPr>
      <w:pgSz w:w="11906" w:h="16838"/>
      <w:pgMar w:top="873" w:right="1236" w:bottom="873" w:left="1236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EyNzA2NjBmZjc1MTNmMWFiNTQ0MmNmZTQyOTRkYTAifQ=="/>
  </w:docVars>
  <w:rsids>
    <w:rsidRoot w:val="515D6B7D"/>
    <w:rsid w:val="017A7394"/>
    <w:rsid w:val="02066DE2"/>
    <w:rsid w:val="05CD1FCE"/>
    <w:rsid w:val="061E20C6"/>
    <w:rsid w:val="06324466"/>
    <w:rsid w:val="06576146"/>
    <w:rsid w:val="0A4356DC"/>
    <w:rsid w:val="12CD1340"/>
    <w:rsid w:val="1E822E18"/>
    <w:rsid w:val="1FD37FAB"/>
    <w:rsid w:val="264B1493"/>
    <w:rsid w:val="26C041F4"/>
    <w:rsid w:val="2E8827E2"/>
    <w:rsid w:val="303C0B9B"/>
    <w:rsid w:val="373E101D"/>
    <w:rsid w:val="38C34476"/>
    <w:rsid w:val="39736B31"/>
    <w:rsid w:val="45A57FD8"/>
    <w:rsid w:val="4A68418A"/>
    <w:rsid w:val="4DE55E0A"/>
    <w:rsid w:val="515D6B7D"/>
    <w:rsid w:val="5608785D"/>
    <w:rsid w:val="572A3D68"/>
    <w:rsid w:val="5BFC15A0"/>
    <w:rsid w:val="5C1D7864"/>
    <w:rsid w:val="61CE53EC"/>
    <w:rsid w:val="6686193D"/>
    <w:rsid w:val="66F14033"/>
    <w:rsid w:val="6CE25008"/>
    <w:rsid w:val="7EFB64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736</Words>
  <Characters>756</Characters>
  <Lines>0</Lines>
  <Paragraphs>0</Paragraphs>
  <TotalTime>10</TotalTime>
  <ScaleCrop>false</ScaleCrop>
  <LinksUpToDate>false</LinksUpToDate>
  <CharactersWithSpaces>1242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2021-12-13T01:59:00Z</dcterms:created>
  <dc:creator>特斯L</dc:creator>
  <cp:lastModifiedBy>杨金松</cp:lastModifiedBy>
  <cp:lastPrinted>2021-12-13T02:59:00Z</cp:lastPrinted>
  <dcterms:modified xsi:type="dcterms:W3CDTF">2025-08-04T02:00:19Z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7B05FAE5BE2945ECBB06671AD19C45DF</vt:lpwstr>
  </property>
  <property fmtid="{D5CDD505-2E9C-101B-9397-08002B2CF9AE}" pid="4" name="KSOTemplateDocerSaveRecord">
    <vt:lpwstr>eyJoZGlkIjoiODEyNzA2NjBmZjc1MTNmMWFiNTQ0MmNmZTQyOTRkYTAiLCJ1c2VySWQiOiIxNzM5NzEyMiJ9</vt:lpwstr>
  </property>
</Properties>
</file>